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:rsidRPr="005248C1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Pr="005248C1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="Times New Roman" w:hAnsi="Times New Roman" w:cs="Times New Roman"/>
                <w:b/>
              </w:rPr>
            </w:pPr>
            <w:r w:rsidRPr="005248C1">
              <w:rPr>
                <w:rFonts w:ascii="Times New Roman" w:hAnsi="Times New Roman" w:cs="Times New Roman"/>
                <w:b/>
                <w:color w:val="232323"/>
              </w:rPr>
              <w:t>IZVJEŠĆE 0 PROVEDENOM SAVJETOVANJU SA ZAINTERESIRANOM JAVNOŠĆU</w:t>
            </w:r>
          </w:p>
        </w:tc>
      </w:tr>
      <w:tr w:rsidR="00544180" w:rsidRPr="005248C1" w14:paraId="01D821DB" w14:textId="77777777" w:rsidTr="0076169E">
        <w:trPr>
          <w:trHeight w:val="2356"/>
        </w:trPr>
        <w:tc>
          <w:tcPr>
            <w:tcW w:w="2971" w:type="dxa"/>
          </w:tcPr>
          <w:p w14:paraId="06FB171C" w14:textId="77777777" w:rsidR="00544180" w:rsidRPr="005248C1" w:rsidRDefault="00544180" w:rsidP="0076169E">
            <w:pPr>
              <w:pStyle w:val="TableParagraph"/>
              <w:spacing w:line="254" w:lineRule="auto"/>
              <w:ind w:left="130" w:right="149" w:firstLine="1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Naziv nacrta zakona, drugog propisa ili akta</w:t>
            </w:r>
          </w:p>
        </w:tc>
        <w:tc>
          <w:tcPr>
            <w:tcW w:w="6816" w:type="dxa"/>
          </w:tcPr>
          <w:p w14:paraId="69B24451" w14:textId="77777777" w:rsidR="00544180" w:rsidRPr="005248C1" w:rsidRDefault="00544180" w:rsidP="0076169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6F3CBA3" w14:textId="513B01E7" w:rsidR="00544180" w:rsidRPr="005248C1" w:rsidRDefault="00E84B26" w:rsidP="0076169E">
            <w:pPr>
              <w:pStyle w:val="TableParagraph"/>
              <w:spacing w:before="1"/>
              <w:ind w:left="2085" w:right="2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2323"/>
                <w:w w:val="115"/>
              </w:rPr>
              <w:t>Odluka o izmjeni Odluke o obavljanja komunalnih djelatnosti</w:t>
            </w:r>
            <w:r w:rsidR="000069EE">
              <w:rPr>
                <w:rFonts w:ascii="Times New Roman" w:hAnsi="Times New Roman" w:cs="Times New Roman"/>
                <w:color w:val="232323"/>
                <w:w w:val="115"/>
              </w:rPr>
              <w:t xml:space="preserve"> na temelju koncesije</w:t>
            </w:r>
          </w:p>
        </w:tc>
      </w:tr>
      <w:tr w:rsidR="00544180" w:rsidRPr="005248C1" w14:paraId="6DCF6FE2" w14:textId="77777777" w:rsidTr="0076169E">
        <w:trPr>
          <w:trHeight w:val="829"/>
        </w:trPr>
        <w:tc>
          <w:tcPr>
            <w:tcW w:w="2971" w:type="dxa"/>
          </w:tcPr>
          <w:p w14:paraId="5B9788ED" w14:textId="77777777" w:rsidR="00544180" w:rsidRPr="005248C1" w:rsidRDefault="00544180" w:rsidP="0076169E">
            <w:pPr>
              <w:pStyle w:val="TableParagraph"/>
              <w:spacing w:before="120" w:line="254" w:lineRule="auto"/>
              <w:ind w:left="138" w:right="149" w:firstLine="2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Naziv tijela nadležnog za izradu nacrta</w:t>
            </w:r>
          </w:p>
        </w:tc>
        <w:tc>
          <w:tcPr>
            <w:tcW w:w="6816" w:type="dxa"/>
          </w:tcPr>
          <w:p w14:paraId="5F6CD90B" w14:textId="77777777" w:rsidR="00544180" w:rsidRPr="005248C1" w:rsidRDefault="00544180" w:rsidP="0076169E">
            <w:pPr>
              <w:pStyle w:val="TableParagraph"/>
              <w:spacing w:before="120" w:line="254" w:lineRule="auto"/>
              <w:ind w:left="3085" w:right="37" w:hanging="2744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5"/>
              </w:rPr>
              <w:t>Grad Šibenik, Upravni odjel za komunalne djelatnosti</w:t>
            </w:r>
          </w:p>
        </w:tc>
      </w:tr>
      <w:tr w:rsidR="00544180" w:rsidRPr="005248C1" w14:paraId="638F508C" w14:textId="77777777" w:rsidTr="0076169E">
        <w:trPr>
          <w:trHeight w:val="825"/>
        </w:trPr>
        <w:tc>
          <w:tcPr>
            <w:tcW w:w="2971" w:type="dxa"/>
          </w:tcPr>
          <w:p w14:paraId="4A0418BA" w14:textId="77777777" w:rsidR="00544180" w:rsidRPr="005248C1" w:rsidRDefault="00544180" w:rsidP="0076169E">
            <w:pPr>
              <w:pStyle w:val="TableParagraph"/>
              <w:spacing w:before="111"/>
              <w:ind w:left="140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Razdoblje savjetovanja</w:t>
            </w:r>
          </w:p>
          <w:p w14:paraId="1A357981" w14:textId="77777777" w:rsidR="00544180" w:rsidRPr="005248C1" w:rsidRDefault="00544180" w:rsidP="0076169E">
            <w:pPr>
              <w:pStyle w:val="TableParagraph"/>
              <w:spacing w:before="13"/>
              <w:ind w:left="142"/>
              <w:rPr>
                <w:rFonts w:ascii="Times New Roman" w:hAnsi="Times New Roman" w:cs="Times New Roman"/>
                <w:i/>
              </w:rPr>
            </w:pPr>
            <w:r w:rsidRPr="005248C1">
              <w:rPr>
                <w:rFonts w:ascii="Times New Roman" w:hAnsi="Times New Roman" w:cs="Times New Roman"/>
                <w:i/>
                <w:color w:val="232323"/>
              </w:rPr>
              <w:t>(početak i završetak)</w:t>
            </w:r>
          </w:p>
        </w:tc>
        <w:tc>
          <w:tcPr>
            <w:tcW w:w="6816" w:type="dxa"/>
          </w:tcPr>
          <w:p w14:paraId="10830CDA" w14:textId="77777777" w:rsidR="00544180" w:rsidRPr="005248C1" w:rsidRDefault="00544180" w:rsidP="0076169E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14:paraId="0E90C983" w14:textId="3137E925" w:rsidR="00544180" w:rsidRPr="005248C1" w:rsidRDefault="00544180" w:rsidP="0076169E">
            <w:pPr>
              <w:pStyle w:val="TableParagraph"/>
              <w:spacing w:before="0"/>
              <w:ind w:right="2151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                       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10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. 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svibnja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– 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17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. 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svibnja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 xml:space="preserve"> 202</w:t>
            </w:r>
            <w:r w:rsidR="00E84B26">
              <w:rPr>
                <w:rFonts w:ascii="Times New Roman" w:hAnsi="Times New Roman" w:cs="Times New Roman"/>
                <w:color w:val="232323"/>
                <w:w w:val="110"/>
              </w:rPr>
              <w:t>2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.</w:t>
            </w:r>
          </w:p>
        </w:tc>
      </w:tr>
      <w:tr w:rsidR="00E84B26" w:rsidRPr="005248C1" w14:paraId="2B7E7C2F" w14:textId="77777777" w:rsidTr="00C906E0">
        <w:trPr>
          <w:trHeight w:val="3311"/>
        </w:trPr>
        <w:tc>
          <w:tcPr>
            <w:tcW w:w="2971" w:type="dxa"/>
          </w:tcPr>
          <w:p w14:paraId="0C120047" w14:textId="77777777" w:rsidR="00E84B26" w:rsidRPr="005248C1" w:rsidRDefault="00E84B26" w:rsidP="00E84B26">
            <w:pPr>
              <w:pStyle w:val="TableParagraph"/>
              <w:spacing w:line="254" w:lineRule="auto"/>
              <w:ind w:left="148" w:right="149" w:hanging="3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Obrazloženje razloga i ciljeva koji se žele postići donošenjem akta odnosno drugog dokumenta</w:t>
            </w:r>
          </w:p>
        </w:tc>
        <w:tc>
          <w:tcPr>
            <w:tcW w:w="6816" w:type="dxa"/>
            <w:vAlign w:val="center"/>
          </w:tcPr>
          <w:p w14:paraId="02AD5E06" w14:textId="77777777" w:rsidR="00AB1897" w:rsidRDefault="00AB1897" w:rsidP="00AB1897">
            <w:pPr>
              <w:ind w:firstLine="708"/>
              <w:jc w:val="both"/>
            </w:pPr>
            <w:r>
              <w:t>Člankom 44. Zakona o komunalnom gospodarstvu („Službeni glasnik Grada Šibenika“, broj 68/18, 110/18 i 32/20 ) utvrđeno je da predstavničko tijelo jedinice lokalne samouprave, u skladu sa ovim Zakonom između predloženih komunalnih djelatnosti: pružanja usluge parkiranja na uređenim javnim površinama i u javnim garažama, pružanja usluga javnih tržnica na malo, komunalnog linijskog prijevoza putnika, obavljanja dimnjačarskih poslova i održavanja javne rasvjete, određuje komunalne djelatnosti koje se obavljaju na temelju koncesije.</w:t>
            </w:r>
          </w:p>
          <w:p w14:paraId="4FFCB012" w14:textId="77777777" w:rsidR="00AB1897" w:rsidRDefault="00AB1897" w:rsidP="00AB1897">
            <w:pPr>
              <w:ind w:firstLine="708"/>
              <w:jc w:val="both"/>
            </w:pPr>
            <w:r>
              <w:t>Razlog donošenja ovog akta je bolja organizacija obavljanja uslužnih komunalnih djelatnosti.</w:t>
            </w:r>
          </w:p>
          <w:p w14:paraId="2BFB7C9B" w14:textId="77777777" w:rsidR="00AB1897" w:rsidRDefault="00AB1897" w:rsidP="00AB1897">
            <w:pPr>
              <w:ind w:firstLine="708"/>
              <w:jc w:val="both"/>
            </w:pPr>
            <w:r w:rsidRPr="00C82FE5">
              <w:rPr>
                <w:rFonts w:eastAsia="Arial Unicode MS" w:cstheme="minorHAnsi"/>
              </w:rPr>
              <w:t>Uslužna komunalna djelatnost komunalnog linijskog prijevoza putnika do sada se obavljala davanjem koncesije a sada se predlaže da se ista obavlja povjeravanjem obavljanja trgovačkom društvu u vlasništvu Grada Šibenika.</w:t>
            </w:r>
            <w:r>
              <w:t xml:space="preserve"> </w:t>
            </w:r>
          </w:p>
          <w:p w14:paraId="69E81D86" w14:textId="77777777" w:rsidR="00AB1897" w:rsidRDefault="00AB1897" w:rsidP="00AB1897">
            <w:pPr>
              <w:ind w:firstLine="708"/>
              <w:jc w:val="both"/>
            </w:pPr>
            <w:r>
              <w:t>U skladu sa prethodnim utvrđenjem predlaže se donošenje ove odluke.</w:t>
            </w:r>
          </w:p>
          <w:p w14:paraId="29A1491C" w14:textId="66858E24" w:rsidR="00E84B26" w:rsidRPr="005248C1" w:rsidRDefault="00E84B26" w:rsidP="00E84B26">
            <w:pPr>
              <w:pStyle w:val="TableParagraph"/>
              <w:spacing w:before="153" w:line="273" w:lineRule="auto"/>
              <w:ind w:left="116" w:right="37" w:hanging="10"/>
              <w:rPr>
                <w:rFonts w:ascii="Times New Roman" w:hAnsi="Times New Roman" w:cs="Times New Roman"/>
              </w:rPr>
            </w:pPr>
          </w:p>
        </w:tc>
      </w:tr>
      <w:tr w:rsidR="00E84B26" w:rsidRPr="005248C1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E84B26" w:rsidRPr="005248C1" w:rsidRDefault="00E84B26" w:rsidP="00E84B26">
            <w:pPr>
              <w:pStyle w:val="TableParagraph"/>
              <w:spacing w:line="254" w:lineRule="auto"/>
              <w:ind w:left="161" w:right="143" w:hanging="6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Ime/naziv sudionika/ce savjetovanja (pojedinac, udruga, ustanova i sl.) koji/a daje svoje mišljenje i primjedbe na nacrt zakona, drugog propisa ili</w:t>
            </w:r>
            <w:r w:rsidRPr="005248C1">
              <w:rPr>
                <w:rFonts w:ascii="Times New Roman" w:hAnsi="Times New Roman" w:cs="Times New Roman"/>
                <w:color w:val="232323"/>
                <w:spacing w:val="15"/>
                <w:w w:val="110"/>
              </w:rPr>
              <w:t xml:space="preserve"> </w:t>
            </w: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akta</w:t>
            </w:r>
          </w:p>
        </w:tc>
        <w:tc>
          <w:tcPr>
            <w:tcW w:w="6816" w:type="dxa"/>
          </w:tcPr>
          <w:p w14:paraId="6D09A19F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</w:p>
          <w:p w14:paraId="258A504B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</w:p>
          <w:p w14:paraId="463706B7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</w:rPr>
              <w:t>Nitko se nije javio</w:t>
            </w:r>
          </w:p>
          <w:p w14:paraId="48098088" w14:textId="77777777" w:rsidR="00E84B26" w:rsidRPr="005248C1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B26" w:rsidRPr="005248C1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E84B26" w:rsidRPr="005248C1" w:rsidRDefault="00E84B26" w:rsidP="00E84B26">
            <w:pPr>
              <w:pStyle w:val="TableParagraph"/>
              <w:spacing w:before="111" w:line="254" w:lineRule="auto"/>
              <w:ind w:left="168" w:right="149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Primjedbe, komentari i prijedlozi na pojedine odredbe javnog poziva</w:t>
            </w:r>
          </w:p>
        </w:tc>
        <w:tc>
          <w:tcPr>
            <w:tcW w:w="6816" w:type="dxa"/>
          </w:tcPr>
          <w:p w14:paraId="7269A240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598264DD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7A64569C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765BA730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</w:rPr>
            </w:pPr>
          </w:p>
          <w:p w14:paraId="3529DAD8" w14:textId="77777777" w:rsidR="00E84B26" w:rsidRPr="005248C1" w:rsidRDefault="00E84B26" w:rsidP="00E84B26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rFonts w:ascii="Times New Roman" w:hAnsi="Times New Roman" w:cs="Times New Roman"/>
              </w:rPr>
            </w:pPr>
            <w:r w:rsidRPr="005248C1">
              <w:rPr>
                <w:rFonts w:ascii="Times New Roman" w:hAnsi="Times New Roman" w:cs="Times New Roman"/>
                <w:color w:val="232323"/>
                <w:w w:val="110"/>
              </w:rPr>
              <w:t>Nema prijedloga i sugestija</w:t>
            </w:r>
          </w:p>
        </w:tc>
      </w:tr>
    </w:tbl>
    <w:p w14:paraId="775CD022" w14:textId="77777777" w:rsidR="00544180" w:rsidRPr="005248C1" w:rsidRDefault="00544180" w:rsidP="00544180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E1D7D5A" w14:textId="2C2367EC" w:rsidR="00544180" w:rsidRPr="005248C1" w:rsidRDefault="00544180" w:rsidP="00605292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3FB255A5" wp14:editId="378C6A11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8C1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Za vrijeme trajanja savjetovanja s zainteresiranom javnošću o </w:t>
      </w:r>
      <w:r w:rsidRPr="005248C1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 xml:space="preserve"> prijedlog</w:t>
      </w:r>
      <w:r w:rsidR="00605292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>u</w:t>
      </w:r>
      <w:r w:rsidRPr="005248C1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 xml:space="preserve"> Odluke o izmjeni  Odluke o </w:t>
      </w:r>
      <w:r w:rsidR="00605292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>obavljanja komunalnih djelatnosti</w:t>
      </w:r>
      <w:r w:rsidRPr="005248C1">
        <w:rPr>
          <w:rFonts w:ascii="Times New Roman" w:hAnsi="Times New Roman" w:cs="Times New Roman"/>
          <w:i/>
          <w:color w:val="262626"/>
          <w:w w:val="105"/>
          <w:sz w:val="22"/>
          <w:szCs w:val="22"/>
        </w:rPr>
        <w:t xml:space="preserve"> </w:t>
      </w:r>
      <w:r w:rsidRPr="005248C1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 </w:t>
      </w:r>
      <w:r w:rsidR="00AB1897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na temelju koncesije </w:t>
      </w:r>
      <w:r w:rsidRPr="005248C1">
        <w:rPr>
          <w:rFonts w:ascii="Times New Roman" w:hAnsi="Times New Roman" w:cs="Times New Roman"/>
          <w:color w:val="262626"/>
          <w:w w:val="105"/>
          <w:sz w:val="22"/>
          <w:szCs w:val="22"/>
        </w:rPr>
        <w:t xml:space="preserve">nije pristigla niti jedna primjedba. </w:t>
      </w:r>
    </w:p>
    <w:p w14:paraId="2C5EBD10" w14:textId="77777777" w:rsidR="00544180" w:rsidRPr="005248C1" w:rsidRDefault="00544180" w:rsidP="00605292">
      <w:pPr>
        <w:pStyle w:val="Tijeloteksta"/>
        <w:spacing w:before="168" w:line="276" w:lineRule="auto"/>
        <w:ind w:right="112"/>
        <w:jc w:val="both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Sukladno odredbama članka 11. stavka 4. Zakona o pravu na pristup informacijama (NN 25/13 i 85/15), Grad Šibenik izradio je ovo izvješće o savjetovanju s javnošću i objavit će ga na svojoj internetskoj stranici.</w:t>
      </w:r>
    </w:p>
    <w:p w14:paraId="16BEAA96" w14:textId="77777777" w:rsidR="00544180" w:rsidRPr="005248C1" w:rsidRDefault="00544180" w:rsidP="00544180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14:paraId="2BA30972" w14:textId="3E16D6C7" w:rsidR="00544180" w:rsidRPr="005248C1" w:rsidRDefault="00544180" w:rsidP="00544180">
      <w:pPr>
        <w:pStyle w:val="Tijeloteksta"/>
        <w:spacing w:before="1" w:line="415" w:lineRule="auto"/>
        <w:ind w:left="323" w:right="6379"/>
        <w:rPr>
          <w:rFonts w:ascii="Times New Roman" w:hAnsi="Times New Roman" w:cs="Times New Roman"/>
          <w:color w:val="262626"/>
          <w:w w:val="110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KLASA: 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363-01/2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-01/</w:t>
      </w:r>
      <w:r w:rsidR="007B2859">
        <w:rPr>
          <w:rFonts w:ascii="Times New Roman" w:hAnsi="Times New Roman" w:cs="Times New Roman"/>
          <w:color w:val="262626"/>
          <w:w w:val="110"/>
          <w:sz w:val="22"/>
          <w:szCs w:val="22"/>
        </w:rPr>
        <w:t>281</w:t>
      </w:r>
    </w:p>
    <w:p w14:paraId="28AE22CC" w14:textId="0D3A5754" w:rsidR="00544180" w:rsidRPr="005248C1" w:rsidRDefault="00544180" w:rsidP="00544180">
      <w:pPr>
        <w:pStyle w:val="Tijeloteksta"/>
        <w:spacing w:before="1" w:line="415" w:lineRule="auto"/>
        <w:ind w:left="323" w:right="6379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URBROJ: 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2182/01-03/1-2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</w:t>
      </w:r>
      <w:r w:rsidR="00A96DB1"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-</w:t>
      </w:r>
      <w:r w:rsidR="007B2859">
        <w:rPr>
          <w:rFonts w:ascii="Times New Roman" w:hAnsi="Times New Roman" w:cs="Times New Roman"/>
          <w:color w:val="262626"/>
          <w:w w:val="110"/>
          <w:sz w:val="22"/>
          <w:szCs w:val="22"/>
        </w:rPr>
        <w:t>1</w:t>
      </w:r>
    </w:p>
    <w:p w14:paraId="3B79B16B" w14:textId="15647D3A" w:rsidR="00544180" w:rsidRPr="005248C1" w:rsidRDefault="00544180" w:rsidP="00544180">
      <w:pPr>
        <w:pStyle w:val="Tijeloteksta"/>
        <w:spacing w:before="2"/>
        <w:ind w:left="324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Šibenik, 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20</w:t>
      </w: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. 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svibnja</w:t>
      </w: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 xml:space="preserve"> 202</w:t>
      </w:r>
      <w:r w:rsidR="00605292">
        <w:rPr>
          <w:rFonts w:ascii="Times New Roman" w:hAnsi="Times New Roman" w:cs="Times New Roman"/>
          <w:color w:val="262626"/>
          <w:w w:val="110"/>
          <w:sz w:val="22"/>
          <w:szCs w:val="22"/>
        </w:rPr>
        <w:t>2</w:t>
      </w:r>
      <w:r w:rsidRPr="005248C1">
        <w:rPr>
          <w:rFonts w:ascii="Times New Roman" w:hAnsi="Times New Roman" w:cs="Times New Roman"/>
          <w:color w:val="262626"/>
          <w:w w:val="110"/>
          <w:sz w:val="22"/>
          <w:szCs w:val="22"/>
        </w:rPr>
        <w:t>. godine</w:t>
      </w:r>
    </w:p>
    <w:p w14:paraId="46983062" w14:textId="77777777" w:rsidR="00544180" w:rsidRPr="005248C1" w:rsidRDefault="00544180" w:rsidP="00544180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78509A0" w14:textId="77777777" w:rsidR="00544180" w:rsidRPr="005248C1" w:rsidRDefault="00544180" w:rsidP="00544180">
      <w:pPr>
        <w:pStyle w:val="Tijeloteksta"/>
        <w:spacing w:before="5"/>
        <w:rPr>
          <w:rFonts w:ascii="Times New Roman" w:hAnsi="Times New Roman" w:cs="Times New Roman"/>
          <w:sz w:val="22"/>
          <w:szCs w:val="22"/>
        </w:rPr>
      </w:pPr>
    </w:p>
    <w:p w14:paraId="2A9622A8" w14:textId="77777777" w:rsidR="00544180" w:rsidRPr="005248C1" w:rsidRDefault="00544180" w:rsidP="00544180">
      <w:pPr>
        <w:pStyle w:val="Tijeloteksta"/>
        <w:spacing w:before="200"/>
        <w:ind w:left="7951"/>
        <w:rPr>
          <w:rFonts w:ascii="Times New Roman" w:hAnsi="Times New Roman" w:cs="Times New Roman"/>
          <w:color w:val="262626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sz w:val="22"/>
          <w:szCs w:val="22"/>
        </w:rPr>
        <w:t xml:space="preserve">PROČELNIK: </w:t>
      </w:r>
    </w:p>
    <w:p w14:paraId="5CBC5268" w14:textId="77777777" w:rsidR="00544180" w:rsidRPr="005248C1" w:rsidRDefault="00544180" w:rsidP="00544180">
      <w:pPr>
        <w:pStyle w:val="Tijeloteksta"/>
        <w:spacing w:before="200"/>
        <w:ind w:left="7200"/>
        <w:rPr>
          <w:rFonts w:ascii="Times New Roman" w:hAnsi="Times New Roman" w:cs="Times New Roman"/>
          <w:sz w:val="22"/>
          <w:szCs w:val="22"/>
        </w:rPr>
      </w:pPr>
      <w:r w:rsidRPr="005248C1">
        <w:rPr>
          <w:rFonts w:ascii="Times New Roman" w:hAnsi="Times New Roman" w:cs="Times New Roman"/>
          <w:color w:val="262626"/>
          <w:sz w:val="22"/>
          <w:szCs w:val="22"/>
        </w:rPr>
        <w:t>Ante Nakić ,struč.spec.ing.aedif</w:t>
      </w:r>
    </w:p>
    <w:p w14:paraId="16CD063D" w14:textId="77777777" w:rsidR="00087AFC" w:rsidRPr="005248C1" w:rsidRDefault="00087AFC">
      <w:pPr>
        <w:rPr>
          <w:rFonts w:ascii="Times New Roman" w:hAnsi="Times New Roman" w:cs="Times New Roman"/>
        </w:rPr>
      </w:pPr>
    </w:p>
    <w:sectPr w:rsidR="00087AFC" w:rsidRPr="005248C1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069EE"/>
    <w:rsid w:val="00087AFC"/>
    <w:rsid w:val="005248C1"/>
    <w:rsid w:val="00544180"/>
    <w:rsid w:val="00605292"/>
    <w:rsid w:val="007A3873"/>
    <w:rsid w:val="007B2859"/>
    <w:rsid w:val="009B47C9"/>
    <w:rsid w:val="00A96DB1"/>
    <w:rsid w:val="00AB1897"/>
    <w:rsid w:val="00E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4</cp:revision>
  <cp:lastPrinted>2021-09-06T10:42:00Z</cp:lastPrinted>
  <dcterms:created xsi:type="dcterms:W3CDTF">2022-05-19T09:35:00Z</dcterms:created>
  <dcterms:modified xsi:type="dcterms:W3CDTF">2022-05-20T07:04:00Z</dcterms:modified>
</cp:coreProperties>
</file>